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center"/>
        <w:rPr>
          <w:b/>
        </w:rPr>
      </w:pPr>
      <w:r>
        <w:rPr>
          <w:b/>
        </w:rPr>
        <w:t>ВНИМАНИЮ СОБСТВЕННИКОВ ЗЕМЕЛЬНЫХ УЧАСТКОВ</w:t>
      </w:r>
    </w:p>
    <w:p w:rsidR="00E226F5" w:rsidRDefault="00E226F5" w:rsidP="00E226F5">
      <w:pPr>
        <w:pStyle w:val="a3"/>
        <w:shd w:val="clear" w:color="auto" w:fill="F9F8F8"/>
        <w:spacing w:before="0" w:beforeAutospacing="0"/>
        <w:jc w:val="both"/>
      </w:pP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Как указано в ст. 210 Гражданского кодекса Российской Федерации бремя содержания земельного участка возлагается на их собственников.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Кроме того, Земельным кодексом Российской Федерации предусмотрено, что собственники земельных участков и лица, не являющиеся собственниками земельных участков (далее также - владельцы),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осуществлять мероприятия по охране земель (ст. 42 ЗК РФ).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В зависимости от целевого назначения земельного участка его зарастание сорной растительностью может повлечь административную ответственность.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К числу сорных растений относят, например, пырей ползучий, хвощ полевой, лютик ползучий, борщевик Сосновского, тысячелистник обыкновенный, пижму обыкновенную, мяту полевую, все виды молочая, одуванчик лекарственный, полынь обыкновенную, ромашку (пахучую и непахучую) и др. (Приложение к Признакам, утв. Постановлением Правительства РФ от 18.09.2020 № 1482).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Например, владельцы сельскохозяйственных угодий должны проводить мероприятия по их защите от зарастания деревьями, кустарниками и сорными растениями (</w:t>
      </w:r>
      <w:proofErr w:type="spellStart"/>
      <w:r w:rsidRPr="00E226F5">
        <w:t>пп</w:t>
      </w:r>
      <w:proofErr w:type="spellEnd"/>
      <w:r w:rsidRPr="00E226F5">
        <w:t>. 3 п. 2 ст. 13 ЗК РФ).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Невыполнение гражданами указанных мероприятий влечет административную ответственность в виде административного штрафа в размере от 20 000 до 50 000 руб. (ч. 2 ст. 8.7 КоАП РФ).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Также необходимо отметить, что правилами противопожарного режима предусмотрено, в частности, что правообладатели земельных участков (собственники земельных участков, землепользователи, землевладельцы и арендаторы земельных участков) обязаны производить своевременную уборку мусора, сухой растительности и покос травы (п. 67 Правил, утв. Постановлением Правительства РФ от 16.09.2020 № 1479).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За нарушение гражданами требований пожарной безопасности предусмотрена административная ответственность, как правило, в виде предупреждения или административного штрафа в размере от 5 000 до 15 000 руб. (ч. 1 ст. 20.4 КоАП РФ).</w:t>
      </w:r>
    </w:p>
    <w:p w:rsidR="00E226F5" w:rsidRPr="00E226F5" w:rsidRDefault="00E226F5" w:rsidP="00E226F5">
      <w:pPr>
        <w:pStyle w:val="a3"/>
        <w:shd w:val="clear" w:color="auto" w:fill="F9F8F8"/>
        <w:spacing w:before="0" w:beforeAutospacing="0"/>
        <w:jc w:val="both"/>
      </w:pPr>
      <w:r w:rsidRPr="00E226F5">
        <w:t>Кроме того, Федеральным законом от 06.10.2003 № 131-ФЗ «Об общих принципах организации местного самоуправления в Российской Федерации», предусмотрено, что к вопросам органов местного самоуправления относится в том числе утверждение правил благоустройства поселения.</w:t>
      </w:r>
    </w:p>
    <w:p w:rsidR="003E1728" w:rsidRDefault="003E1728">
      <w:bookmarkStart w:id="0" w:name="_GoBack"/>
      <w:bookmarkEnd w:id="0"/>
    </w:p>
    <w:sectPr w:rsidR="003E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76"/>
    <w:rsid w:val="003E1728"/>
    <w:rsid w:val="008A0476"/>
    <w:rsid w:val="00E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64723-FB82-490F-AED0-235AFB4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Nizhnekamenskoe</cp:lastModifiedBy>
  <cp:revision>3</cp:revision>
  <dcterms:created xsi:type="dcterms:W3CDTF">2024-11-25T12:20:00Z</dcterms:created>
  <dcterms:modified xsi:type="dcterms:W3CDTF">2024-11-25T12:21:00Z</dcterms:modified>
</cp:coreProperties>
</file>